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8D54E2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4668B359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E01019">
              <w:rPr>
                <w:b/>
                <w:sz w:val="20"/>
                <w:szCs w:val="20"/>
              </w:rPr>
              <w:t xml:space="preserve"> English 9 Honors</w:t>
            </w:r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50A4124E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C724E4">
              <w:rPr>
                <w:b/>
                <w:sz w:val="20"/>
                <w:szCs w:val="20"/>
              </w:rPr>
              <w:t xml:space="preserve"> Kelley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8D54E2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3DFAB929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C724E4">
              <w:rPr>
                <w:b/>
                <w:sz w:val="20"/>
                <w:szCs w:val="20"/>
              </w:rPr>
              <w:t xml:space="preserve"> 9th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8D54E2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08726EE" w14:textId="63CF4F71" w:rsidR="00EC78BE" w:rsidRDefault="00C72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read a fiction novella and a non-fiction novel. After reading they will complete 3 journal entries for each piece. </w:t>
            </w:r>
            <w:r w:rsidR="00C43957">
              <w:rPr>
                <w:sz w:val="16"/>
                <w:szCs w:val="16"/>
              </w:rPr>
              <w:t xml:space="preserve">Novella- Animal Farm by George Orwell/ Novel- The Family Romanov by Candace Fleming </w:t>
            </w:r>
          </w:p>
          <w:p w14:paraId="23279F1C" w14:textId="3332D869" w:rsidR="006A174E" w:rsidRPr="001D0998" w:rsidRDefault="006A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journal requires students to choose 3 important quotes</w:t>
            </w:r>
            <w:r w:rsidR="00C56685">
              <w:rPr>
                <w:sz w:val="16"/>
                <w:szCs w:val="16"/>
              </w:rPr>
              <w:t xml:space="preserve">, one from the beginning, the middle, and the end of each story. Then, for each quote, </w:t>
            </w:r>
            <w:r w:rsidR="000D29EC">
              <w:rPr>
                <w:sz w:val="16"/>
                <w:szCs w:val="16"/>
              </w:rPr>
              <w:t xml:space="preserve">students should do three steps: 1. Write the quote, 2. Explain what the quote means in relation to the story, </w:t>
            </w:r>
            <w:r w:rsidR="004D78A1">
              <w:rPr>
                <w:sz w:val="16"/>
                <w:szCs w:val="16"/>
              </w:rPr>
              <w:t xml:space="preserve">3. Explain how this quote connects to a </w:t>
            </w:r>
            <w:r w:rsidR="00FA4104">
              <w:rPr>
                <w:sz w:val="16"/>
                <w:szCs w:val="16"/>
              </w:rPr>
              <w:t xml:space="preserve">larger </w:t>
            </w:r>
            <w:r w:rsidR="004D78A1">
              <w:rPr>
                <w:sz w:val="16"/>
                <w:szCs w:val="16"/>
              </w:rPr>
              <w:t xml:space="preserve">literary concept </w:t>
            </w:r>
            <w:r w:rsidR="00FA4104">
              <w:rPr>
                <w:sz w:val="16"/>
                <w:szCs w:val="16"/>
              </w:rPr>
              <w:t xml:space="preserve">i.e. characterization, theme, or plot. </w:t>
            </w:r>
          </w:p>
          <w:p w14:paraId="767D7365" w14:textId="55315498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3CD107FE" w14:textId="77777777" w:rsidTr="008D54E2">
        <w:trPr>
          <w:trHeight w:val="157"/>
        </w:trPr>
        <w:tc>
          <w:tcPr>
            <w:tcW w:w="3865" w:type="dxa"/>
          </w:tcPr>
          <w:p w14:paraId="1243E57E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D2B0D6A" w14:textId="51C7C2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E15DC22" w14:textId="1F04D9AB" w:rsidR="00EC78BE" w:rsidRPr="001D0998" w:rsidRDefault="00B9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week of school</w:t>
            </w:r>
          </w:p>
          <w:p w14:paraId="4CE65ED6" w14:textId="3BED6A5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53EC69DB" w14:textId="77777777" w:rsidTr="008D54E2">
        <w:trPr>
          <w:trHeight w:val="157"/>
        </w:trPr>
        <w:tc>
          <w:tcPr>
            <w:tcW w:w="3865" w:type="dxa"/>
          </w:tcPr>
          <w:p w14:paraId="471AC0EA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C567410" w14:textId="6867AFDD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E439030" w14:textId="58404DFE" w:rsidR="00EC78BE" w:rsidRDefault="00B9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  <w:r w:rsidR="00CC5847">
              <w:rPr>
                <w:sz w:val="16"/>
                <w:szCs w:val="16"/>
              </w:rPr>
              <w:t xml:space="preserve"> portion should take approximately 45 minutes- 1 hour total. </w:t>
            </w:r>
          </w:p>
          <w:p w14:paraId="35FCFC70" w14:textId="644A54DF" w:rsidR="00557BDB" w:rsidRPr="001D0998" w:rsidRDefault="0055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varies depending on the speed of the reader. </w:t>
            </w:r>
            <w:r w:rsidR="00F101D2">
              <w:rPr>
                <w:sz w:val="16"/>
                <w:szCs w:val="16"/>
              </w:rPr>
              <w:t xml:space="preserve">Animal Farm is just over 100 pages. Family Romanov is around 300 pages but that includes photos, charts, and appendices. </w:t>
            </w:r>
          </w:p>
          <w:p w14:paraId="3A2C635B" w14:textId="47AACB3C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78B7C992" w14:textId="77777777" w:rsidTr="008D54E2">
        <w:trPr>
          <w:trHeight w:val="157"/>
        </w:trPr>
        <w:tc>
          <w:tcPr>
            <w:tcW w:w="3865" w:type="dxa"/>
          </w:tcPr>
          <w:p w14:paraId="3781176D" w14:textId="1D6A7B14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 w:rsidR="006711FC"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743C996" w14:textId="6E6C76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6119741" w14:textId="4F9106BD" w:rsidR="00EC78BE" w:rsidRDefault="006A174E">
            <w:pPr>
              <w:rPr>
                <w:sz w:val="16"/>
                <w:szCs w:val="16"/>
              </w:rPr>
            </w:pPr>
            <w:r w:rsidRPr="006A174E">
              <w:rPr>
                <w:sz w:val="16"/>
                <w:szCs w:val="16"/>
              </w:rPr>
              <w:t>9-10.RL.KID.1 Analyze what a text says explicitly and draw inferences; cite the strongest, most compelling textual evidence to support conclusions.</w:t>
            </w:r>
          </w:p>
          <w:p w14:paraId="09BC69F0" w14:textId="6C7789DE" w:rsidR="00302A02" w:rsidRPr="001D0998" w:rsidRDefault="00302A02">
            <w:pPr>
              <w:rPr>
                <w:sz w:val="16"/>
                <w:szCs w:val="16"/>
              </w:rPr>
            </w:pPr>
            <w:r w:rsidRPr="00302A02">
              <w:rPr>
                <w:sz w:val="16"/>
                <w:szCs w:val="16"/>
              </w:rPr>
              <w:t>9-10.RL.KID.2 Determine a theme or central idea of a text and analyze its development; provide an objective or critical summary.</w:t>
            </w:r>
          </w:p>
          <w:p w14:paraId="1E99434E" w14:textId="5009A1E6" w:rsidR="00EC78BE" w:rsidRPr="001D0998" w:rsidRDefault="00DD1E85">
            <w:pPr>
              <w:rPr>
                <w:sz w:val="16"/>
                <w:szCs w:val="16"/>
              </w:rPr>
            </w:pPr>
            <w:r w:rsidRPr="00DD1E85">
              <w:rPr>
                <w:sz w:val="16"/>
                <w:szCs w:val="16"/>
              </w:rPr>
              <w:t>9-10.RL.KID.3 Analyze how complex characters, events, and ideas develop and interact over the course of a text to impact meaning.</w:t>
            </w:r>
          </w:p>
        </w:tc>
      </w:tr>
      <w:tr w:rsidR="008D54E2" w:rsidRPr="001D0998" w14:paraId="24038215" w14:textId="77777777" w:rsidTr="008D54E2">
        <w:trPr>
          <w:trHeight w:val="157"/>
        </w:trPr>
        <w:tc>
          <w:tcPr>
            <w:tcW w:w="3865" w:type="dxa"/>
          </w:tcPr>
          <w:p w14:paraId="270CE9A8" w14:textId="02D976E3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Rationale for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3AC749ED" w14:textId="0A6BDD3F" w:rsidR="00EC78BE" w:rsidRPr="001D0998" w:rsidRDefault="00EC78BE">
            <w:pPr>
              <w:rPr>
                <w:sz w:val="16"/>
                <w:szCs w:val="16"/>
              </w:rPr>
            </w:pPr>
          </w:p>
          <w:p w14:paraId="574BEC75" w14:textId="1D42CF06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6BB2191" w14:textId="18587022" w:rsidR="00EC78BE" w:rsidRPr="001D0998" w:rsidRDefault="00F20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These two pieces are related in theme and </w:t>
            </w:r>
            <w:r w:rsidR="001E35FB">
              <w:rPr>
                <w:sz w:val="16"/>
                <w:szCs w:val="16"/>
              </w:rPr>
              <w:t xml:space="preserve">historical relevance. Having students read these novels prior to starting the year allows teachers to bring the students back quickly and immediately jump into higher level </w:t>
            </w:r>
            <w:r w:rsidR="004E7330">
              <w:rPr>
                <w:sz w:val="16"/>
                <w:szCs w:val="16"/>
              </w:rPr>
              <w:t xml:space="preserve">of analysis. Additionally, </w:t>
            </w:r>
            <w:r w:rsidR="00D423C4">
              <w:rPr>
                <w:sz w:val="16"/>
                <w:szCs w:val="16"/>
              </w:rPr>
              <w:t>teachers will be able to review and introduce new concepts immediately without</w:t>
            </w:r>
            <w:r w:rsidR="005B3D1A">
              <w:rPr>
                <w:sz w:val="16"/>
                <w:szCs w:val="16"/>
              </w:rPr>
              <w:t xml:space="preserve"> waiting for students to read concepts. One of these things is the historical allegory which Animal Farm is f</w:t>
            </w:r>
            <w:r w:rsidR="00FE4D20">
              <w:rPr>
                <w:sz w:val="16"/>
                <w:szCs w:val="16"/>
              </w:rPr>
              <w:t xml:space="preserve">or The Family Romanov. </w:t>
            </w:r>
          </w:p>
        </w:tc>
      </w:tr>
      <w:tr w:rsidR="008D54E2" w:rsidRPr="001D0998" w14:paraId="09CAED1D" w14:textId="77777777" w:rsidTr="008D54E2">
        <w:trPr>
          <w:trHeight w:val="157"/>
        </w:trPr>
        <w:tc>
          <w:tcPr>
            <w:tcW w:w="3865" w:type="dxa"/>
          </w:tcPr>
          <w:p w14:paraId="24BC5AE1" w14:textId="4184C91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Resources needed to complete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6EA9704D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6903EE94" w14:textId="68F73497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AF59081" w14:textId="74535A8D" w:rsidR="00EC78BE" w:rsidRPr="001D0998" w:rsidRDefault="00FE4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 novels and paper for writing. This can be done on a computer or handwritten. </w:t>
            </w:r>
          </w:p>
          <w:p w14:paraId="2FA5E18F" w14:textId="4BE49359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4E8FBC06" w14:textId="77777777" w:rsidTr="008D54E2">
        <w:trPr>
          <w:trHeight w:val="157"/>
        </w:trPr>
        <w:tc>
          <w:tcPr>
            <w:tcW w:w="3865" w:type="dxa"/>
          </w:tcPr>
          <w:p w14:paraId="1F2A8504" w14:textId="76F774E8" w:rsidR="00EC78BE" w:rsidRPr="001D0998" w:rsidRDefault="001D0998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 w:rsidR="00701EA0">
              <w:rPr>
                <w:sz w:val="16"/>
                <w:szCs w:val="16"/>
              </w:rPr>
              <w:t xml:space="preserve">and </w:t>
            </w:r>
            <w:r w:rsidR="00701EA0" w:rsidRPr="00C810DD">
              <w:rPr>
                <w:sz w:val="16"/>
                <w:szCs w:val="16"/>
                <w:u w:val="single"/>
              </w:rPr>
              <w:t>when</w:t>
            </w:r>
            <w:r w:rsidR="00701EA0"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 w:rsidR="000F7901">
              <w:rPr>
                <w:sz w:val="16"/>
                <w:szCs w:val="16"/>
              </w:rPr>
              <w:t xml:space="preserve"> Also, what grading category and what percentage will this summer assignment count in the student’s grade?</w:t>
            </w:r>
          </w:p>
          <w:p w14:paraId="00E3397F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F3D2A85" w14:textId="3D3DA4AC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09CEA27" w14:textId="1A862282" w:rsidR="00EC78BE" w:rsidRPr="001D0998" w:rsidRDefault="00A00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assignment will be assessed in the first two weeks. It will be turned in Week one. </w:t>
            </w:r>
            <w:r w:rsidR="009C6F42">
              <w:rPr>
                <w:sz w:val="16"/>
                <w:szCs w:val="16"/>
              </w:rPr>
              <w:t xml:space="preserve">It is graded on completeness, </w:t>
            </w:r>
            <w:r w:rsidR="000B136F">
              <w:rPr>
                <w:sz w:val="16"/>
                <w:szCs w:val="16"/>
              </w:rPr>
              <w:t xml:space="preserve">quote choices </w:t>
            </w:r>
            <w:r w:rsidR="009C6F42">
              <w:rPr>
                <w:sz w:val="16"/>
                <w:szCs w:val="16"/>
              </w:rPr>
              <w:t xml:space="preserve">relevance to novels, </w:t>
            </w:r>
            <w:r w:rsidR="000B136F">
              <w:rPr>
                <w:sz w:val="16"/>
                <w:szCs w:val="16"/>
              </w:rPr>
              <w:t>and the written response accuracy</w:t>
            </w:r>
            <w:r w:rsidR="00F14D22">
              <w:rPr>
                <w:sz w:val="16"/>
                <w:szCs w:val="16"/>
              </w:rPr>
              <w:t xml:space="preserve"> as a quiz grade.</w:t>
            </w:r>
            <w:r w:rsidR="008D0033">
              <w:rPr>
                <w:sz w:val="16"/>
                <w:szCs w:val="16"/>
              </w:rPr>
              <w:t xml:space="preserve"> </w:t>
            </w:r>
            <w:r w:rsidR="008D0033">
              <w:rPr>
                <w:sz w:val="16"/>
                <w:szCs w:val="16"/>
              </w:rPr>
              <w:t xml:space="preserve">Additionally, we will give </w:t>
            </w:r>
            <w:r w:rsidR="008D0033">
              <w:rPr>
                <w:sz w:val="16"/>
                <w:szCs w:val="16"/>
              </w:rPr>
              <w:t xml:space="preserve">a </w:t>
            </w:r>
            <w:r w:rsidR="008D0033">
              <w:rPr>
                <w:sz w:val="16"/>
                <w:szCs w:val="16"/>
              </w:rPr>
              <w:t>test over comprehension of the novels.</w:t>
            </w:r>
          </w:p>
          <w:p w14:paraId="48F733EC" w14:textId="59B5702A" w:rsidR="00EC78BE" w:rsidRPr="001D0998" w:rsidRDefault="00EC78BE">
            <w:pPr>
              <w:rPr>
                <w:sz w:val="16"/>
                <w:szCs w:val="16"/>
              </w:rPr>
            </w:pPr>
          </w:p>
        </w:tc>
      </w:tr>
      <w:tr w:rsidR="008D54E2" w:rsidRPr="001D0998" w14:paraId="06B6E6BC" w14:textId="77777777" w:rsidTr="008D54E2">
        <w:trPr>
          <w:trHeight w:val="157"/>
        </w:trPr>
        <w:tc>
          <w:tcPr>
            <w:tcW w:w="3865" w:type="dxa"/>
          </w:tcPr>
          <w:p w14:paraId="0D567A3D" w14:textId="5EC1B1E2" w:rsidR="001D0998" w:rsidRPr="001D0998" w:rsidRDefault="001D0998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Additional Summer Assessments (If applicable</w:t>
            </w:r>
            <w:r w:rsidR="00C810DD">
              <w:rPr>
                <w:sz w:val="16"/>
                <w:szCs w:val="16"/>
              </w:rPr>
              <w:t xml:space="preserve"> - </w:t>
            </w:r>
            <w:r w:rsidR="00C810DD" w:rsidRPr="006D10E9">
              <w:rPr>
                <w:sz w:val="16"/>
                <w:szCs w:val="16"/>
                <w:u w:val="single"/>
              </w:rPr>
              <w:t xml:space="preserve">what </w:t>
            </w:r>
            <w:r w:rsidR="00C810DD">
              <w:rPr>
                <w:sz w:val="16"/>
                <w:szCs w:val="16"/>
              </w:rPr>
              <w:t xml:space="preserve">grading category and </w:t>
            </w:r>
            <w:r w:rsidR="00C810DD" w:rsidRPr="006D10E9">
              <w:rPr>
                <w:sz w:val="16"/>
                <w:szCs w:val="16"/>
                <w:u w:val="single"/>
              </w:rPr>
              <w:t>what</w:t>
            </w:r>
            <w:r w:rsidR="00C810DD"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</w:tc>
        <w:tc>
          <w:tcPr>
            <w:tcW w:w="6390" w:type="dxa"/>
          </w:tcPr>
          <w:p w14:paraId="499C27FD" w14:textId="06CE79D3" w:rsidR="001D0998" w:rsidRPr="001D0998" w:rsidRDefault="008D0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  <w:r w:rsidR="00F41FC3">
              <w:rPr>
                <w:sz w:val="16"/>
                <w:szCs w:val="16"/>
              </w:rPr>
              <w:t xml:space="preserve"> will</w:t>
            </w:r>
            <w:r w:rsidR="002063D0">
              <w:rPr>
                <w:sz w:val="16"/>
                <w:szCs w:val="16"/>
              </w:rPr>
              <w:t xml:space="preserve"> do a historical allegory </w:t>
            </w:r>
            <w:r w:rsidR="00464D41">
              <w:rPr>
                <w:sz w:val="16"/>
                <w:szCs w:val="16"/>
              </w:rPr>
              <w:t>writing prompt</w:t>
            </w:r>
            <w:r w:rsidR="002063D0">
              <w:rPr>
                <w:sz w:val="16"/>
                <w:szCs w:val="16"/>
              </w:rPr>
              <w:t xml:space="preserve"> comparing these two novels during class. </w:t>
            </w:r>
            <w:r w:rsidR="00F41FC3">
              <w:rPr>
                <w:sz w:val="16"/>
                <w:szCs w:val="16"/>
              </w:rPr>
              <w:t xml:space="preserve">These will both occur in the first two weeks as well. </w:t>
            </w:r>
          </w:p>
        </w:tc>
      </w:tr>
      <w:tr w:rsidR="008D54E2" w:rsidRPr="001D0998" w14:paraId="1BE24F09" w14:textId="77777777" w:rsidTr="008D54E2">
        <w:trPr>
          <w:trHeight w:val="157"/>
        </w:trPr>
        <w:tc>
          <w:tcPr>
            <w:tcW w:w="3865" w:type="dxa"/>
          </w:tcPr>
          <w:p w14:paraId="167E0633" w14:textId="2CE6E0A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30459015" w14:textId="77777777" w:rsidR="005B615B" w:rsidRPr="001D0998" w:rsidRDefault="005B615B">
            <w:pPr>
              <w:rPr>
                <w:sz w:val="16"/>
                <w:szCs w:val="16"/>
              </w:rPr>
            </w:pPr>
          </w:p>
          <w:p w14:paraId="27A49AB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34816679" w14:textId="7BC09F1A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FAB551A" w14:textId="2B6937A8" w:rsidR="00A22F64" w:rsidRDefault="00A22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Sarah Kelley</w:t>
            </w:r>
          </w:p>
          <w:p w14:paraId="210F7639" w14:textId="1D72000B" w:rsidR="00A22F64" w:rsidRPr="001D0998" w:rsidRDefault="00A22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Sarah.kelley@acsk-12.org</w:t>
            </w:r>
          </w:p>
          <w:p w14:paraId="32E525A7" w14:textId="6E17F610" w:rsidR="00EC78BE" w:rsidRPr="001D0998" w:rsidRDefault="00EC78BE">
            <w:pPr>
              <w:rPr>
                <w:sz w:val="16"/>
                <w:szCs w:val="16"/>
              </w:rPr>
            </w:pPr>
          </w:p>
        </w:tc>
      </w:tr>
    </w:tbl>
    <w:p w14:paraId="07561B37" w14:textId="197A533B" w:rsidR="00EC78BE" w:rsidRPr="001D0998" w:rsidRDefault="00EC78BE">
      <w:pPr>
        <w:rPr>
          <w:sz w:val="16"/>
          <w:szCs w:val="16"/>
        </w:rPr>
      </w:pPr>
    </w:p>
    <w:sectPr w:rsidR="00EC78BE" w:rsidRPr="001D0998" w:rsidSect="008D54E2">
      <w:footerReference w:type="default" r:id="rId7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4588" w14:textId="77777777" w:rsidR="00E415C1" w:rsidRDefault="00E415C1" w:rsidP="00EC78BE">
      <w:r>
        <w:separator/>
      </w:r>
    </w:p>
  </w:endnote>
  <w:endnote w:type="continuationSeparator" w:id="0">
    <w:p w14:paraId="4BB7F332" w14:textId="77777777" w:rsidR="00E415C1" w:rsidRDefault="00E415C1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523B" w14:textId="35F4AEBE" w:rsidR="005A338D" w:rsidRPr="00C60E3D" w:rsidRDefault="00C60E3D">
    <w:pPr>
      <w:pStyle w:val="Footer"/>
      <w:rPr>
        <w:i/>
      </w:rPr>
    </w:pPr>
    <w:r w:rsidRPr="00C60E3D">
      <w:rPr>
        <w:i/>
      </w:rPr>
      <w:t xml:space="preserve">Final:  </w:t>
    </w:r>
    <w:r w:rsidR="00175D13">
      <w:rPr>
        <w:i/>
      </w:rPr>
      <w:t>4</w:t>
    </w:r>
    <w:r w:rsidRPr="00C60E3D">
      <w:rPr>
        <w:i/>
      </w:rPr>
      <w:t>/</w:t>
    </w:r>
    <w:r w:rsidR="00175D13">
      <w:rPr>
        <w:i/>
      </w:rPr>
      <w:t>24</w:t>
    </w:r>
    <w:r w:rsidRPr="00C60E3D">
      <w:rPr>
        <w:i/>
      </w:rPr>
      <w:t>/202</w:t>
    </w:r>
    <w:r w:rsidR="00175D13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3390" w14:textId="77777777" w:rsidR="00E415C1" w:rsidRDefault="00E415C1" w:rsidP="00EC78BE">
      <w:r>
        <w:separator/>
      </w:r>
    </w:p>
  </w:footnote>
  <w:footnote w:type="continuationSeparator" w:id="0">
    <w:p w14:paraId="03ADE705" w14:textId="77777777" w:rsidR="00E415C1" w:rsidRDefault="00E415C1" w:rsidP="00EC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24496"/>
    <w:rsid w:val="000469F3"/>
    <w:rsid w:val="000B136F"/>
    <w:rsid w:val="000D29EC"/>
    <w:rsid w:val="000F7901"/>
    <w:rsid w:val="00111A5F"/>
    <w:rsid w:val="00132295"/>
    <w:rsid w:val="00175D13"/>
    <w:rsid w:val="00183CB8"/>
    <w:rsid w:val="00191928"/>
    <w:rsid w:val="001A3341"/>
    <w:rsid w:val="001D0998"/>
    <w:rsid w:val="001E35FB"/>
    <w:rsid w:val="002063D0"/>
    <w:rsid w:val="00277703"/>
    <w:rsid w:val="00302A02"/>
    <w:rsid w:val="00321B9B"/>
    <w:rsid w:val="003518DF"/>
    <w:rsid w:val="00464D41"/>
    <w:rsid w:val="00494A9B"/>
    <w:rsid w:val="004D78A1"/>
    <w:rsid w:val="004E7330"/>
    <w:rsid w:val="00557BDB"/>
    <w:rsid w:val="00561BC5"/>
    <w:rsid w:val="00575C54"/>
    <w:rsid w:val="005A338D"/>
    <w:rsid w:val="005A3CBA"/>
    <w:rsid w:val="005B3D1A"/>
    <w:rsid w:val="005B615B"/>
    <w:rsid w:val="005C1082"/>
    <w:rsid w:val="005D6129"/>
    <w:rsid w:val="005F2898"/>
    <w:rsid w:val="006226BA"/>
    <w:rsid w:val="00623338"/>
    <w:rsid w:val="006414A6"/>
    <w:rsid w:val="00643081"/>
    <w:rsid w:val="006711FC"/>
    <w:rsid w:val="006A174E"/>
    <w:rsid w:val="006D10E9"/>
    <w:rsid w:val="006F3014"/>
    <w:rsid w:val="00701EA0"/>
    <w:rsid w:val="00731D6A"/>
    <w:rsid w:val="007460EC"/>
    <w:rsid w:val="007E4252"/>
    <w:rsid w:val="007E7D9B"/>
    <w:rsid w:val="008D0033"/>
    <w:rsid w:val="008D54E2"/>
    <w:rsid w:val="008E751F"/>
    <w:rsid w:val="00944DAF"/>
    <w:rsid w:val="009C6F42"/>
    <w:rsid w:val="00A00D13"/>
    <w:rsid w:val="00A157EE"/>
    <w:rsid w:val="00A22F64"/>
    <w:rsid w:val="00B20AAD"/>
    <w:rsid w:val="00B95C72"/>
    <w:rsid w:val="00C055B1"/>
    <w:rsid w:val="00C43957"/>
    <w:rsid w:val="00C56685"/>
    <w:rsid w:val="00C60E3D"/>
    <w:rsid w:val="00C724E4"/>
    <w:rsid w:val="00C810DD"/>
    <w:rsid w:val="00CC19AC"/>
    <w:rsid w:val="00CC5847"/>
    <w:rsid w:val="00CE5348"/>
    <w:rsid w:val="00CF15EA"/>
    <w:rsid w:val="00D423C4"/>
    <w:rsid w:val="00DD1E85"/>
    <w:rsid w:val="00E01019"/>
    <w:rsid w:val="00E37F23"/>
    <w:rsid w:val="00E415C1"/>
    <w:rsid w:val="00EC78BE"/>
    <w:rsid w:val="00F101D2"/>
    <w:rsid w:val="00F14D22"/>
    <w:rsid w:val="00F20333"/>
    <w:rsid w:val="00F41FC3"/>
    <w:rsid w:val="00FA4104"/>
    <w:rsid w:val="00FB779B"/>
    <w:rsid w:val="00FD5102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Sarah Kelley</cp:lastModifiedBy>
  <cp:revision>3</cp:revision>
  <cp:lastPrinted>2019-12-11T19:18:00Z</cp:lastPrinted>
  <dcterms:created xsi:type="dcterms:W3CDTF">2023-04-24T13:33:00Z</dcterms:created>
  <dcterms:modified xsi:type="dcterms:W3CDTF">2023-04-24T13:35:00Z</dcterms:modified>
</cp:coreProperties>
</file>